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B34D" w14:textId="77777777" w:rsidR="00EB6785" w:rsidRPr="00083F10" w:rsidRDefault="00EB6785" w:rsidP="00564D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3F10">
        <w:rPr>
          <w:rFonts w:ascii="Times New Roman" w:hAnsi="Times New Roman" w:cs="Times New Roman"/>
          <w:b/>
          <w:bCs/>
          <w:sz w:val="28"/>
          <w:szCs w:val="28"/>
        </w:rPr>
        <w:t>BAP04 LİSANSÜSTÜ TEZ PROJESİ</w:t>
      </w:r>
    </w:p>
    <w:p w14:paraId="09562C48" w14:textId="3ED137A4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Yüksek lisans, doktora, tıpta/diş hekimliğinde uzmanlık ya da sanatta yeterlilik eğitimini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Üniversite bünyesinde yapan öğrencilerin tez projeleridir. Söz konusu projelerden üretilecek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tezlerin, bilime katkı yapması, ülkenin sosyoekonomik ve kültürel kalkınmasına katkı sağlaması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beklenmektedir.</w:t>
      </w:r>
    </w:p>
    <w:p w14:paraId="49ED8E03" w14:textId="001D3735" w:rsidR="00EB6785" w:rsidRPr="00083F10" w:rsidRDefault="007B1A74" w:rsidP="00564D7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3F10">
        <w:rPr>
          <w:rFonts w:ascii="Times New Roman" w:hAnsi="Times New Roman" w:cs="Times New Roman"/>
          <w:b/>
          <w:bCs/>
          <w:sz w:val="26"/>
          <w:szCs w:val="26"/>
        </w:rPr>
        <w:t>BAŞVURU KOŞULLARI</w:t>
      </w:r>
    </w:p>
    <w:p w14:paraId="287262EB" w14:textId="0105AB77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a) Tez projelerine üniversitemiz mensubu olan ve ilgili Anabilim Dalı Başkanlığı kararı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ve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enstitünün onayı ile tez danışmanlığına veya tez ikinci danışmanlığına atanmış olan öğretim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üyeleri başvuru yapabilir.</w:t>
      </w:r>
    </w:p>
    <w:p w14:paraId="660DB314" w14:textId="09BBE89A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b) Bu tür projeler için başvuru aşamasında ilgili öğretim üyesinin danışman veya ikinci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danışman olarak atandığına ilişkin ilgili enstitü veya fakülte yönetim kurulu kararının sisteme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yüklenmesi gerekmektedir.</w:t>
      </w:r>
    </w:p>
    <w:p w14:paraId="549093FB" w14:textId="5F9A9204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c) Tez projesi başvurusu, tez konusunun ilgili Enstitü Yönetim Kurulu/Anabilim Dalı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(tıpta/diş hekimliğinde uzmanlık için) tarafından kabulünden sonra gerçekleştirilir. Tez konusu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ile proje başlığının aynı olması gerekmektedir.</w:t>
      </w:r>
    </w:p>
    <w:p w14:paraId="6596DF10" w14:textId="499DCB01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d) Üniversitemiz personelinin başka bir üniversitede lisansüstü eğitime devam etmesi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durumunda, tez projesi desteği alabilmesi için tez danışmanının veya ikinci danışmanının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Üniversitemiz mensubu bir öğretim üyesi olması gerekmektedir.</w:t>
      </w:r>
    </w:p>
    <w:p w14:paraId="6D2D7761" w14:textId="5F564369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e) Lisansüstü öğrenci danışmanının herhangi bir nedenle değişmesi durumunda eski ve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yeni danışmanların uygun görüşleri alınmak şartıyla projenin yürütücülüğü komisyon kararıyla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yeni danışmana devredilebilir.</w:t>
      </w:r>
    </w:p>
    <w:p w14:paraId="0449C69E" w14:textId="77777777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f) Herhangi bir kurum tarafından desteklenen projeler bu kapsamda desteklenmez.</w:t>
      </w:r>
    </w:p>
    <w:p w14:paraId="21DE6FB1" w14:textId="5ACFD00F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g) Proje yürütücüsünün 2015 yılından itibaren BAP kapsamında yürütmüş olduğu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projelerden gerçekleştirmiş olduğu proje çıktılarını (makale, kitap, patent, ürün, sunum vb.)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sisteme yüklemiş olması gerekmektedir.</w:t>
      </w:r>
    </w:p>
    <w:p w14:paraId="6D6F8BBA" w14:textId="639DE743" w:rsidR="00EB6785" w:rsidRPr="00083F10" w:rsidRDefault="007B1A74" w:rsidP="00564D7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3F10">
        <w:rPr>
          <w:rFonts w:ascii="Times New Roman" w:hAnsi="Times New Roman" w:cs="Times New Roman"/>
          <w:b/>
          <w:bCs/>
          <w:sz w:val="26"/>
          <w:szCs w:val="26"/>
        </w:rPr>
        <w:t>PROJE YÜRÜTÜCÜSÜ VE PROJE EKİBİ</w:t>
      </w:r>
    </w:p>
    <w:p w14:paraId="4D2F10B9" w14:textId="67E6E6D8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Tez danışmanı veya ikinci danışman olarak ilgili kurullar tarafından görevlendirilen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Üniversitemiz mensubu öğretim üyeleri Lisansüstü tez projelerinde yürütücü olabilirler.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Projelerde yer alan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yürütücü ve araştırmacılar proje ekibini oluşturur.</w:t>
      </w:r>
    </w:p>
    <w:p w14:paraId="452982CD" w14:textId="75C9BF98" w:rsidR="00EB6785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Bilimsel araştırma projesinin yürütülebilmesi için proje yürütücüsü tarafından proje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ekibinde yer verilen; öğretim elemanları, proje konusu ile ilgili lisans ve lisansüstü öğrenim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görmekte olan öğrencileri ve eğitimlerini tamamlamış, uzmanlığı nedeniyle projede görev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verilen kişiler projede araştırmacı olabilirler. Projede görev alacak araştırmacıları proje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yürütücüsü belirler. Ancak tez projeleri zorunlu haller hariç genel itibarıyla danışman, ikinci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danışman ve lisansüstü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öğrencisinden oluşmalıdır.</w:t>
      </w:r>
    </w:p>
    <w:p w14:paraId="648BB8FA" w14:textId="50EEEFA8" w:rsidR="00EB6785" w:rsidRPr="00083F10" w:rsidRDefault="007B1A74" w:rsidP="00564D7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3F10">
        <w:rPr>
          <w:rFonts w:ascii="Times New Roman" w:hAnsi="Times New Roman" w:cs="Times New Roman"/>
          <w:b/>
          <w:bCs/>
          <w:sz w:val="26"/>
          <w:szCs w:val="26"/>
        </w:rPr>
        <w:t>PROJE SÜRESİ</w:t>
      </w:r>
    </w:p>
    <w:p w14:paraId="79913ECE" w14:textId="74637196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Proje süresi en fazla 36 ay olabilir. Ancak tez projeleri için verilen süreler, yetkili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birimler tarafından tezler için verilen yasal ek süreleri kapsayacak şekilde uzatılabilir. Tez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 xml:space="preserve">projeleri için </w:t>
      </w:r>
      <w:r w:rsidRPr="00083F10">
        <w:rPr>
          <w:rFonts w:ascii="Times New Roman" w:hAnsi="Times New Roman" w:cs="Times New Roman"/>
          <w:sz w:val="24"/>
          <w:szCs w:val="24"/>
        </w:rPr>
        <w:lastRenderedPageBreak/>
        <w:t>sağlanacak mali destekler, ilgili lisansüstü eğitim ve öğretim mevzuatında</w:t>
      </w:r>
      <w:r w:rsidR="0053335E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belirlenen normal öğrenim süreleri ile sınırlıdır.</w:t>
      </w:r>
    </w:p>
    <w:p w14:paraId="54236D34" w14:textId="55E5DBAF" w:rsidR="00EB6785" w:rsidRPr="00083F10" w:rsidRDefault="007B1A74" w:rsidP="00564D7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3F10">
        <w:rPr>
          <w:rFonts w:ascii="Times New Roman" w:hAnsi="Times New Roman" w:cs="Times New Roman"/>
          <w:b/>
          <w:bCs/>
          <w:sz w:val="26"/>
          <w:szCs w:val="26"/>
        </w:rPr>
        <w:t>PROJE DESTEK TUTARI</w:t>
      </w:r>
    </w:p>
    <w:p w14:paraId="6E215435" w14:textId="77777777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Lisansüstü tez projeleri için KDV dahil destek tutarı aşağıdaki gibidir.</w:t>
      </w:r>
    </w:p>
    <w:p w14:paraId="0FA859D0" w14:textId="77777777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- Yüksek Lisans: 30.000 TL</w:t>
      </w:r>
    </w:p>
    <w:p w14:paraId="5562B819" w14:textId="77777777" w:rsidR="0053335E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- Tıpta /Diş Hekimliğinde Uzmanlık: 50.000 TL</w:t>
      </w:r>
    </w:p>
    <w:p w14:paraId="488A2B0C" w14:textId="26097F3B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 xml:space="preserve"> - Doktora: 50.000 TL</w:t>
      </w:r>
    </w:p>
    <w:p w14:paraId="77A244D2" w14:textId="77777777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- Sanatta Yeterlilik: 50.000 TL</w:t>
      </w:r>
    </w:p>
    <w:p w14:paraId="699D50D2" w14:textId="511E0913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Lisansüstü tez proje bütçesinin %50’sinin bir sanayi veya ticari kuruluş tarafından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karşılanması durumunda, yukarıda belirtilen tutarlar %25 oranında artırılabilir.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Lisansüstü tez projelerine yürütücünün gerekçeli talebi üzerine proje bütçesinin %20’ne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kadar komisyon kararı ile ek bütçe verilebilir. Proje Başvurusu İçin Gerekli Belgeler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Proje yürütücülerinin aşağıdaki belgeleri proje başvurusu sırasında sisteme yüklemesi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gerekmektedir.</w:t>
      </w:r>
    </w:p>
    <w:p w14:paraId="527A94AA" w14:textId="59A278C3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a) Etik Kurul İzin Belgesi; Yapılacak başvurularda, çalışma gereğince etik kurul izin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belgelerinin alınması gerekiyor ise bu belgenin önceden temin edilmesi gerekmektedir.</w:t>
      </w:r>
    </w:p>
    <w:p w14:paraId="1D1FE2E6" w14:textId="582B0649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b) Proforma Fatura veya Teklif Mektupları; Projenin başvuru aşamasında, satın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alınması planlanan cihaz, sarf malzeme ve hizmet alımlarına yönelik hazırlanan proforma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faturaların/fiyat tekliflerinin alınmış olması gerekir. Belgelerin yürütücüye, araştırmacıya veya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BAİBÜ BAP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Koordinatörlüğüne hitaben düzenlenmiş olması gerekmektedir.</w:t>
      </w:r>
    </w:p>
    <w:p w14:paraId="4BA51970" w14:textId="4A417CC6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c) Teknik Şartname; Proje başvuru aşamasında satın alınması planlanan demirbaş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niteliğinde olan alet ve cihazların teknik özelliklerini gösteren şartnamelerin hazırlanması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gerekmektedir. Teknik Şartnameler genel ifadeler içermeli sadece tek bir markayı veya firmayı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işaret edecek şekilde hazırlanmamalıdır.</w:t>
      </w:r>
    </w:p>
    <w:p w14:paraId="7D45FD0F" w14:textId="3DE0E84E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d) Yetkili Kurumlardan Alınacak İzin Belgeleri; Projenin yürütülmesi aşamasında ve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yürütüleceği alanlarda izin alınması gerekiyor ise proje öncesinde gerekli mercilerden resmi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izinlerin alınması gerekmektedir.</w:t>
      </w:r>
    </w:p>
    <w:p w14:paraId="097C3AE3" w14:textId="47A1C303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e) Danışman Atama Yazısı; Lisansüstü tez projesi başvurusunda ilgili enstitünün ve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fakültenin danışman atamasının yapıldığına dair yönetim kurulu kararının veya resmi yazının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alınması gerekmektedir.</w:t>
      </w:r>
    </w:p>
    <w:p w14:paraId="584A8442" w14:textId="118DE465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f) Tez Başlığını Gösteren Belge: Proje adı ile tez başlığının aynı olması gerektiğinden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tez başlığını gösteren resmi bir belge temin edilmesi gerekmektedir.</w:t>
      </w:r>
    </w:p>
    <w:p w14:paraId="3DC0BDCE" w14:textId="26E8236E" w:rsidR="00EB6785" w:rsidRPr="00083F10" w:rsidRDefault="007B1A74" w:rsidP="00564D7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3F10">
        <w:rPr>
          <w:rFonts w:ascii="Times New Roman" w:hAnsi="Times New Roman" w:cs="Times New Roman"/>
          <w:b/>
          <w:bCs/>
          <w:sz w:val="26"/>
          <w:szCs w:val="26"/>
        </w:rPr>
        <w:t>PROJE HARCAMA KALEMLERİ</w:t>
      </w:r>
    </w:p>
    <w:p w14:paraId="71572C5D" w14:textId="0303932B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Başvuru aşamasında proje bütçesi, destek koşullarında belirlenmiş olan üst limitlerin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üzerinde olamaz. Sistem, üst limiti geçen durumlarda başvurunun tamamlanmasına izin vermez.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BAP kapsamında desteklenecek bu tür projelerde, talep edilebilecek harcama kalemleri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aşağıda belirtilmiştir.</w:t>
      </w:r>
    </w:p>
    <w:p w14:paraId="384DE087" w14:textId="77777777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a) Tüketime yönelik mal ve malzeme alım giderleri</w:t>
      </w:r>
    </w:p>
    <w:p w14:paraId="1EAB59E9" w14:textId="77777777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lastRenderedPageBreak/>
        <w:t>b) Makine teçhizat ve laboratuvar cihazları alım giderleri</w:t>
      </w:r>
    </w:p>
    <w:p w14:paraId="2EA50255" w14:textId="77777777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c) Hizmet alımı giderleri (analiz, anketör gibi)</w:t>
      </w:r>
    </w:p>
    <w:p w14:paraId="2DCC4B05" w14:textId="75573E15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d) Yurtiçi yolluk giderleri: Arazi/saha çalışmaları için yolluk, gündelik, konaklama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giderleri.</w:t>
      </w:r>
    </w:p>
    <w:p w14:paraId="1166CC5F" w14:textId="77777777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e) Yazılım (Üniversitemizce lisanslanmış olan yazılımlar hariç) giderleri.</w:t>
      </w:r>
    </w:p>
    <w:p w14:paraId="2FBB0BEA" w14:textId="77777777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f) Öğrenci kongre giderleri.</w:t>
      </w:r>
    </w:p>
    <w:p w14:paraId="35C4DAB6" w14:textId="60C0F27E" w:rsidR="00EB6785" w:rsidRPr="00083F10" w:rsidRDefault="007B1A74" w:rsidP="00564D7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3F10">
        <w:rPr>
          <w:rFonts w:ascii="Times New Roman" w:hAnsi="Times New Roman" w:cs="Times New Roman"/>
          <w:b/>
          <w:bCs/>
          <w:sz w:val="26"/>
          <w:szCs w:val="26"/>
        </w:rPr>
        <w:t>YAYIN ŞARTLARI</w:t>
      </w:r>
    </w:p>
    <w:p w14:paraId="5DB6D478" w14:textId="3DF2DFDB" w:rsidR="00EB6785" w:rsidRPr="00083F10" w:rsidRDefault="00EB6785" w:rsidP="00564D76">
      <w:pPr>
        <w:jc w:val="both"/>
        <w:rPr>
          <w:rFonts w:ascii="Times New Roman" w:hAnsi="Times New Roman" w:cs="Times New Roman"/>
          <w:sz w:val="24"/>
          <w:szCs w:val="24"/>
        </w:rPr>
      </w:pPr>
      <w:r w:rsidRPr="00083F10">
        <w:rPr>
          <w:rFonts w:ascii="Times New Roman" w:hAnsi="Times New Roman" w:cs="Times New Roman"/>
          <w:sz w:val="24"/>
          <w:szCs w:val="24"/>
        </w:rPr>
        <w:t>Bu kapsamdaki projelerin sonuçlarının bilimsel yayına veya aşağıda sayılan proje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çıktılarından en az bir tanesine dönüştürülmesi zorunluluğu bulunmaktadır.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Bu kapsamda desteklenen projelerin bitiş tarihini izleyen en geç bir yıl içinde; Web of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Science, TR Dizin veya uluslararası alan indeksleri kapsamındaki dergilerde yayımlanan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makale, uluslararası bir kongre veya sempozyumda sözlü sunum, ISBN numarası almış kitap,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kitap bölümü, üretime yönelik ticari bir ürün, patent ve yetkili kurullar tarafından onaylanmış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tezler, en az bir tanesi proje çıktısı olarak sisteme yüklenmesi gerekmektedir.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Proje çıktılarında araştırmacıların Bolu Abant İzzet Baysal Üniversitesi’ni adres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göstermeleri ve teşekkür kısmında proje numarası ile BAP desteğini belirtmeleri zorunludur.</w:t>
      </w:r>
      <w:r w:rsidR="00EF351F" w:rsidRPr="00083F10">
        <w:rPr>
          <w:rFonts w:ascii="Times New Roman" w:hAnsi="Times New Roman" w:cs="Times New Roman"/>
          <w:sz w:val="24"/>
          <w:szCs w:val="24"/>
        </w:rPr>
        <w:t xml:space="preserve"> </w:t>
      </w:r>
      <w:r w:rsidRPr="00083F10">
        <w:rPr>
          <w:rFonts w:ascii="Times New Roman" w:hAnsi="Times New Roman" w:cs="Times New Roman"/>
          <w:sz w:val="24"/>
          <w:szCs w:val="24"/>
        </w:rPr>
        <w:t>Bu şartı sağlamayan yayınlar, proje kapsamında yapılmış yayın olarak değerlendirilmeyecektir.</w:t>
      </w:r>
    </w:p>
    <w:p w14:paraId="253D9BA8" w14:textId="77777777" w:rsidR="00854233" w:rsidRDefault="00854233" w:rsidP="00564D76">
      <w:pPr>
        <w:jc w:val="both"/>
      </w:pPr>
    </w:p>
    <w:sectPr w:rsidR="0085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85"/>
    <w:rsid w:val="00083F10"/>
    <w:rsid w:val="00090167"/>
    <w:rsid w:val="004912B7"/>
    <w:rsid w:val="0053335E"/>
    <w:rsid w:val="00564D76"/>
    <w:rsid w:val="006F25A4"/>
    <w:rsid w:val="007B1A74"/>
    <w:rsid w:val="00854233"/>
    <w:rsid w:val="00AC2427"/>
    <w:rsid w:val="00EB6785"/>
    <w:rsid w:val="00EF351F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7107"/>
  <w15:chartTrackingRefBased/>
  <w15:docId w15:val="{3CE6DD9C-0B54-45C8-B1D9-FEA32C7A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785"/>
  </w:style>
  <w:style w:type="paragraph" w:styleId="Balk1">
    <w:name w:val="heading 1"/>
    <w:basedOn w:val="Normal"/>
    <w:next w:val="Normal"/>
    <w:link w:val="Balk1Char"/>
    <w:uiPriority w:val="9"/>
    <w:qFormat/>
    <w:rsid w:val="00EB67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B67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B67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B67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B67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B67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B67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B67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B67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B67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B67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B67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B6785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B6785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B678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B678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B678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B678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B67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B67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B67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B67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B67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B678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B678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EB678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B67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EB6785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B67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Guven</dc:creator>
  <cp:keywords/>
  <dc:description/>
  <cp:lastModifiedBy>sevda Guven</cp:lastModifiedBy>
  <cp:revision>9</cp:revision>
  <dcterms:created xsi:type="dcterms:W3CDTF">2024-01-03T13:36:00Z</dcterms:created>
  <dcterms:modified xsi:type="dcterms:W3CDTF">2024-01-03T13:46:00Z</dcterms:modified>
</cp:coreProperties>
</file>